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A2A0A" w14:textId="77777777" w:rsidR="003F7B7D" w:rsidRDefault="003F7B7D" w:rsidP="003F7B7D">
      <w:pPr>
        <w:ind w:left="2880" w:firstLine="720"/>
        <w:rPr>
          <w:rFonts w:ascii="Times New Roman" w:hAnsi="Times New Roman"/>
        </w:rPr>
      </w:pPr>
    </w:p>
    <w:p w14:paraId="37CBB5EC" w14:textId="7356DD18" w:rsidR="007F7078" w:rsidRDefault="009E4F04" w:rsidP="003F7B7D">
      <w:pPr>
        <w:ind w:left="2880" w:firstLine="720"/>
        <w:rPr>
          <w:rFonts w:ascii="Times New Roman" w:hAnsi="Times New Roman"/>
        </w:rPr>
      </w:pPr>
      <w:r>
        <w:rPr>
          <w:rFonts w:ascii="Times New Roman" w:hAnsi="Times New Roman"/>
        </w:rPr>
        <w:t>April 13, 2018</w:t>
      </w:r>
    </w:p>
    <w:p w14:paraId="1D0EF4FB" w14:textId="77777777" w:rsidR="003F7B7D" w:rsidRDefault="003F7B7D" w:rsidP="003F7B7D">
      <w:pPr>
        <w:ind w:left="180" w:right="360"/>
        <w:rPr>
          <w:rFonts w:ascii="Times New Roman" w:hAnsi="Times New Roman"/>
        </w:rPr>
      </w:pPr>
    </w:p>
    <w:p w14:paraId="61D8F748" w14:textId="77777777" w:rsidR="003F7B7D" w:rsidRDefault="003F7B7D" w:rsidP="003F7B7D">
      <w:pPr>
        <w:ind w:left="180" w:right="360"/>
        <w:rPr>
          <w:rFonts w:ascii="Times New Roman" w:hAnsi="Times New Roman"/>
        </w:rPr>
      </w:pPr>
    </w:p>
    <w:p w14:paraId="5B93648A" w14:textId="0A6B6818" w:rsidR="003F7B7D" w:rsidRPr="001938E9" w:rsidRDefault="003F7B7D" w:rsidP="003F7B7D">
      <w:pPr>
        <w:ind w:right="360"/>
        <w:rPr>
          <w:rFonts w:ascii="Times New Roman" w:hAnsi="Times New Roman"/>
        </w:rPr>
      </w:pPr>
      <w:r>
        <w:rPr>
          <w:rFonts w:ascii="Times New Roman" w:hAnsi="Times New Roman"/>
        </w:rPr>
        <w:t xml:space="preserve">Dear </w:t>
      </w:r>
      <w:r w:rsidR="009E4F04">
        <w:rPr>
          <w:rFonts w:ascii="Times New Roman" w:hAnsi="Times New Roman"/>
        </w:rPr>
        <w:t>Senator</w:t>
      </w:r>
      <w:r w:rsidRPr="001938E9">
        <w:rPr>
          <w:rFonts w:ascii="Times New Roman" w:hAnsi="Times New Roman"/>
        </w:rPr>
        <w:t>:</w:t>
      </w:r>
    </w:p>
    <w:p w14:paraId="4084E4BD" w14:textId="77777777" w:rsidR="003F7B7D" w:rsidRPr="001938E9" w:rsidRDefault="003F7B7D" w:rsidP="003F7B7D">
      <w:pPr>
        <w:ind w:left="180" w:right="360" w:firstLine="720"/>
        <w:rPr>
          <w:rFonts w:ascii="Times New Roman" w:hAnsi="Times New Roman"/>
        </w:rPr>
      </w:pPr>
    </w:p>
    <w:p w14:paraId="454801FF" w14:textId="0858B360" w:rsidR="003F7B7D" w:rsidRPr="001938E9" w:rsidRDefault="003F7B7D" w:rsidP="003F7B7D">
      <w:pPr>
        <w:ind w:right="360" w:firstLine="720"/>
        <w:rPr>
          <w:rFonts w:ascii="Times New Roman" w:hAnsi="Times New Roman"/>
        </w:rPr>
      </w:pPr>
      <w:r w:rsidRPr="001938E9">
        <w:rPr>
          <w:rFonts w:ascii="Times New Roman" w:hAnsi="Times New Roman"/>
        </w:rPr>
        <w:t xml:space="preserve">The AFL-CIO urges you to </w:t>
      </w:r>
      <w:r>
        <w:rPr>
          <w:rFonts w:ascii="Times New Roman" w:hAnsi="Times New Roman"/>
        </w:rPr>
        <w:t>oppose</w:t>
      </w:r>
      <w:r w:rsidRPr="001938E9">
        <w:rPr>
          <w:rFonts w:ascii="Times New Roman" w:hAnsi="Times New Roman"/>
        </w:rPr>
        <w:t xml:space="preserve"> the Tribal Labor Sovereignty Act</w:t>
      </w:r>
      <w:r w:rsidR="00DE735A">
        <w:rPr>
          <w:rFonts w:ascii="Times New Roman" w:hAnsi="Times New Roman"/>
        </w:rPr>
        <w:t>,</w:t>
      </w:r>
      <w:r>
        <w:rPr>
          <w:rFonts w:ascii="Times New Roman" w:hAnsi="Times New Roman"/>
        </w:rPr>
        <w:t xml:space="preserve"> which</w:t>
      </w:r>
      <w:r w:rsidRPr="001938E9">
        <w:rPr>
          <w:rFonts w:ascii="Times New Roman" w:hAnsi="Times New Roman"/>
        </w:rPr>
        <w:t xml:space="preserve"> would deny protection under the National Labor Relations Act</w:t>
      </w:r>
      <w:r w:rsidR="009610D1">
        <w:rPr>
          <w:rFonts w:ascii="Times New Roman" w:hAnsi="Times New Roman"/>
        </w:rPr>
        <w:t xml:space="preserve"> (NLRA)</w:t>
      </w:r>
      <w:r w:rsidRPr="001938E9">
        <w:rPr>
          <w:rFonts w:ascii="Times New Roman" w:hAnsi="Times New Roman"/>
        </w:rPr>
        <w:t xml:space="preserve"> to a large number of workers employed by tribal</w:t>
      </w:r>
      <w:r>
        <w:rPr>
          <w:rFonts w:ascii="Times New Roman" w:hAnsi="Times New Roman"/>
        </w:rPr>
        <w:t>-</w:t>
      </w:r>
      <w:r w:rsidRPr="001938E9">
        <w:rPr>
          <w:rFonts w:ascii="Times New Roman" w:hAnsi="Times New Roman"/>
        </w:rPr>
        <w:t xml:space="preserve">owned and </w:t>
      </w:r>
      <w:r>
        <w:rPr>
          <w:rFonts w:ascii="Times New Roman" w:hAnsi="Times New Roman"/>
        </w:rPr>
        <w:t>-</w:t>
      </w:r>
      <w:r w:rsidRPr="001938E9">
        <w:rPr>
          <w:rFonts w:ascii="Times New Roman" w:hAnsi="Times New Roman"/>
        </w:rPr>
        <w:t xml:space="preserve">operated enterprises located on </w:t>
      </w:r>
      <w:r w:rsidR="009E4F04">
        <w:rPr>
          <w:rFonts w:ascii="Times New Roman" w:hAnsi="Times New Roman"/>
        </w:rPr>
        <w:t>tribal</w:t>
      </w:r>
      <w:r w:rsidRPr="001938E9">
        <w:rPr>
          <w:rFonts w:ascii="Times New Roman" w:hAnsi="Times New Roman"/>
        </w:rPr>
        <w:t xml:space="preserve"> land.</w:t>
      </w:r>
      <w:r>
        <w:rPr>
          <w:rFonts w:ascii="Times New Roman" w:hAnsi="Times New Roman"/>
        </w:rPr>
        <w:t xml:space="preserve"> </w:t>
      </w:r>
      <w:r w:rsidRPr="001938E9">
        <w:rPr>
          <w:rFonts w:ascii="Times New Roman" w:hAnsi="Times New Roman"/>
        </w:rPr>
        <w:t>Among these workers are over 600,000 tribal casino workers, the vast majority of whom are not Native Americans.</w:t>
      </w:r>
      <w:r>
        <w:rPr>
          <w:rFonts w:ascii="Times New Roman" w:hAnsi="Times New Roman"/>
        </w:rPr>
        <w:t xml:space="preserve"> </w:t>
      </w:r>
      <w:r w:rsidRPr="001938E9">
        <w:rPr>
          <w:rFonts w:ascii="Times New Roman" w:hAnsi="Times New Roman"/>
        </w:rPr>
        <w:t>In recent years</w:t>
      </w:r>
      <w:r>
        <w:rPr>
          <w:rFonts w:ascii="Times New Roman" w:hAnsi="Times New Roman"/>
        </w:rPr>
        <w:t>, the number and type of enterprises affected has grown well beyond the gaming industry, and would now include</w:t>
      </w:r>
      <w:r w:rsidRPr="001938E9">
        <w:rPr>
          <w:rFonts w:ascii="Times New Roman" w:hAnsi="Times New Roman"/>
        </w:rPr>
        <w:t xml:space="preserve"> mining operations, power plants, </w:t>
      </w:r>
      <w:proofErr w:type="gramStart"/>
      <w:r w:rsidRPr="001938E9">
        <w:rPr>
          <w:rFonts w:ascii="Times New Roman" w:hAnsi="Times New Roman"/>
        </w:rPr>
        <w:t>smoke</w:t>
      </w:r>
      <w:proofErr w:type="gramEnd"/>
      <w:r w:rsidRPr="001938E9">
        <w:rPr>
          <w:rFonts w:ascii="Times New Roman" w:hAnsi="Times New Roman"/>
        </w:rPr>
        <w:t xml:space="preserve"> shops, saw mills, construction companies, ski resorts, high</w:t>
      </w:r>
      <w:r>
        <w:rPr>
          <w:rFonts w:ascii="Times New Roman" w:hAnsi="Times New Roman"/>
        </w:rPr>
        <w:t>-</w:t>
      </w:r>
      <w:r w:rsidRPr="001938E9">
        <w:rPr>
          <w:rFonts w:ascii="Times New Roman" w:hAnsi="Times New Roman"/>
        </w:rPr>
        <w:t>tech firms, hotels</w:t>
      </w:r>
      <w:r>
        <w:rPr>
          <w:rFonts w:ascii="Times New Roman" w:hAnsi="Times New Roman"/>
        </w:rPr>
        <w:t>,</w:t>
      </w:r>
      <w:r w:rsidRPr="001938E9">
        <w:rPr>
          <w:rFonts w:ascii="Times New Roman" w:hAnsi="Times New Roman"/>
        </w:rPr>
        <w:t xml:space="preserve"> and spas. </w:t>
      </w:r>
      <w:r>
        <w:rPr>
          <w:rFonts w:ascii="Times New Roman" w:hAnsi="Times New Roman"/>
        </w:rPr>
        <w:t>Many of t</w:t>
      </w:r>
      <w:r w:rsidRPr="001938E9">
        <w:rPr>
          <w:rFonts w:ascii="Times New Roman" w:hAnsi="Times New Roman"/>
        </w:rPr>
        <w:t xml:space="preserve">hese are commercial businesses </w:t>
      </w:r>
      <w:r w:rsidR="00D54521">
        <w:rPr>
          <w:rFonts w:ascii="Times New Roman" w:hAnsi="Times New Roman"/>
        </w:rPr>
        <w:t xml:space="preserve">that </w:t>
      </w:r>
      <w:r w:rsidRPr="001938E9">
        <w:rPr>
          <w:rFonts w:ascii="Times New Roman" w:hAnsi="Times New Roman"/>
        </w:rPr>
        <w:t>compet</w:t>
      </w:r>
      <w:r>
        <w:rPr>
          <w:rFonts w:ascii="Times New Roman" w:hAnsi="Times New Roman"/>
        </w:rPr>
        <w:t>e</w:t>
      </w:r>
      <w:r w:rsidRPr="001938E9">
        <w:rPr>
          <w:rFonts w:ascii="Times New Roman" w:hAnsi="Times New Roman"/>
        </w:rPr>
        <w:t xml:space="preserve"> with non-</w:t>
      </w:r>
      <w:r w:rsidR="009E4F04">
        <w:rPr>
          <w:rFonts w:ascii="Times New Roman" w:hAnsi="Times New Roman"/>
        </w:rPr>
        <w:t>tribal</w:t>
      </w:r>
      <w:r w:rsidRPr="001938E9">
        <w:rPr>
          <w:rFonts w:ascii="Times New Roman" w:hAnsi="Times New Roman"/>
        </w:rPr>
        <w:t xml:space="preserve"> enterprises. </w:t>
      </w:r>
      <w:r w:rsidR="009610D1">
        <w:rPr>
          <w:rFonts w:ascii="Times New Roman" w:hAnsi="Times New Roman"/>
        </w:rPr>
        <w:t>A</w:t>
      </w:r>
      <w:r w:rsidR="009610D1" w:rsidRPr="001938E9">
        <w:rPr>
          <w:rFonts w:ascii="Times New Roman" w:hAnsi="Times New Roman"/>
        </w:rPr>
        <w:t xml:space="preserve">s proposed, </w:t>
      </w:r>
      <w:r w:rsidR="009610D1">
        <w:rPr>
          <w:rFonts w:ascii="Times New Roman" w:hAnsi="Times New Roman"/>
        </w:rPr>
        <w:t>t</w:t>
      </w:r>
      <w:r w:rsidR="009610D1" w:rsidRPr="001938E9">
        <w:rPr>
          <w:rFonts w:ascii="Times New Roman" w:hAnsi="Times New Roman"/>
        </w:rPr>
        <w:t xml:space="preserve">he </w:t>
      </w:r>
      <w:r w:rsidRPr="001938E9">
        <w:rPr>
          <w:rFonts w:ascii="Times New Roman" w:hAnsi="Times New Roman"/>
        </w:rPr>
        <w:t>Tribal Labor Sovereignty Act would strip all workers in these enterprises of their rights and protections under the NLRA.</w:t>
      </w:r>
    </w:p>
    <w:p w14:paraId="76817D95" w14:textId="77777777" w:rsidR="003F7B7D" w:rsidRPr="001938E9" w:rsidRDefault="003F7B7D" w:rsidP="003F7B7D">
      <w:pPr>
        <w:ind w:left="180" w:right="360" w:firstLine="720"/>
        <w:rPr>
          <w:rFonts w:ascii="Times New Roman" w:hAnsi="Times New Roman"/>
        </w:rPr>
      </w:pPr>
    </w:p>
    <w:p w14:paraId="60BBB72F" w14:textId="0D8903F2" w:rsidR="003F7B7D" w:rsidRPr="001938E9" w:rsidRDefault="003F7B7D" w:rsidP="003F7B7D">
      <w:pPr>
        <w:ind w:right="360" w:firstLine="720"/>
        <w:rPr>
          <w:rFonts w:ascii="Times New Roman" w:hAnsi="Times New Roman"/>
        </w:rPr>
      </w:pPr>
      <w:r w:rsidRPr="001938E9">
        <w:rPr>
          <w:rFonts w:ascii="Times New Roman" w:hAnsi="Times New Roman"/>
        </w:rPr>
        <w:t xml:space="preserve">The </w:t>
      </w:r>
      <w:r w:rsidR="009E4F04">
        <w:rPr>
          <w:rFonts w:ascii="Times New Roman" w:hAnsi="Times New Roman"/>
        </w:rPr>
        <w:t>Senate</w:t>
      </w:r>
      <w:r>
        <w:rPr>
          <w:rFonts w:ascii="Times New Roman" w:hAnsi="Times New Roman"/>
        </w:rPr>
        <w:t xml:space="preserve"> </w:t>
      </w:r>
      <w:r w:rsidRPr="001938E9">
        <w:rPr>
          <w:rFonts w:ascii="Times New Roman" w:hAnsi="Times New Roman"/>
        </w:rPr>
        <w:t xml:space="preserve">bill, introduced by </w:t>
      </w:r>
      <w:r w:rsidR="009E4F04">
        <w:rPr>
          <w:rFonts w:ascii="Times New Roman" w:hAnsi="Times New Roman"/>
        </w:rPr>
        <w:t>Senator Moran</w:t>
      </w:r>
      <w:r w:rsidR="00D37E3B">
        <w:rPr>
          <w:rFonts w:ascii="Times New Roman" w:hAnsi="Times New Roman"/>
        </w:rPr>
        <w:t xml:space="preserve">, </w:t>
      </w:r>
      <w:r w:rsidR="00D54521">
        <w:rPr>
          <w:rFonts w:ascii="Times New Roman" w:hAnsi="Times New Roman"/>
        </w:rPr>
        <w:t>would</w:t>
      </w:r>
      <w:r w:rsidRPr="001938E9">
        <w:rPr>
          <w:rFonts w:ascii="Times New Roman" w:hAnsi="Times New Roman"/>
        </w:rPr>
        <w:t xml:space="preserve"> overturn a decision by the National Labor Relations Board (NLRB) in</w:t>
      </w:r>
      <w:r>
        <w:rPr>
          <w:rFonts w:ascii="Times New Roman" w:hAnsi="Times New Roman"/>
        </w:rPr>
        <w:t xml:space="preserve"> </w:t>
      </w:r>
      <w:r w:rsidRPr="00661073">
        <w:rPr>
          <w:rFonts w:ascii="Times New Roman" w:hAnsi="Times New Roman"/>
          <w:i/>
        </w:rPr>
        <w:t xml:space="preserve">San Manuel Indian Bingo </w:t>
      </w:r>
      <w:r w:rsidR="009610D1" w:rsidRPr="00661073">
        <w:rPr>
          <w:rFonts w:ascii="Times New Roman" w:hAnsi="Times New Roman"/>
          <w:i/>
        </w:rPr>
        <w:t xml:space="preserve">&amp; </w:t>
      </w:r>
      <w:r w:rsidRPr="00661073">
        <w:rPr>
          <w:rFonts w:ascii="Times New Roman" w:hAnsi="Times New Roman"/>
          <w:i/>
        </w:rPr>
        <w:t>Casino</w:t>
      </w:r>
      <w:r w:rsidRPr="001938E9">
        <w:rPr>
          <w:rFonts w:ascii="Times New Roman" w:hAnsi="Times New Roman"/>
        </w:rPr>
        <w:t xml:space="preserve">, 341 NLRB No. 138 (2004), which applied the NLRA to a tribal casino enterprise. In </w:t>
      </w:r>
      <w:r w:rsidRPr="00661073">
        <w:rPr>
          <w:rFonts w:ascii="Times New Roman" w:hAnsi="Times New Roman"/>
          <w:i/>
        </w:rPr>
        <w:t>San Manuel</w:t>
      </w:r>
      <w:r w:rsidRPr="001938E9">
        <w:rPr>
          <w:rFonts w:ascii="Times New Roman" w:hAnsi="Times New Roman"/>
        </w:rPr>
        <w:t>, the NLRB looked to Supreme Court and circuit court precedent to articulate a te</w:t>
      </w:r>
      <w:bookmarkStart w:id="0" w:name="_GoBack"/>
      <w:bookmarkEnd w:id="0"/>
      <w:r w:rsidRPr="001938E9">
        <w:rPr>
          <w:rFonts w:ascii="Times New Roman" w:hAnsi="Times New Roman"/>
        </w:rPr>
        <w:t>st for whether the NLRB should assert jurisdiction over tribal enterprises, whether located on tribal lands or outside them.</w:t>
      </w:r>
      <w:r>
        <w:rPr>
          <w:rFonts w:ascii="Times New Roman" w:hAnsi="Times New Roman"/>
        </w:rPr>
        <w:t xml:space="preserve"> </w:t>
      </w:r>
      <w:r w:rsidRPr="001938E9">
        <w:rPr>
          <w:rFonts w:ascii="Times New Roman" w:hAnsi="Times New Roman"/>
        </w:rPr>
        <w:t xml:space="preserve">(Before </w:t>
      </w:r>
      <w:r w:rsidRPr="00661073">
        <w:rPr>
          <w:rFonts w:ascii="Times New Roman" w:hAnsi="Times New Roman"/>
          <w:i/>
        </w:rPr>
        <w:t>San Manuel</w:t>
      </w:r>
      <w:r w:rsidRPr="001938E9">
        <w:rPr>
          <w:rFonts w:ascii="Times New Roman" w:hAnsi="Times New Roman"/>
        </w:rPr>
        <w:t>, NLRB jurisdiction was determined based solely on location</w:t>
      </w:r>
      <w:r>
        <w:rPr>
          <w:rFonts w:ascii="Times New Roman" w:hAnsi="Times New Roman"/>
        </w:rPr>
        <w:t>:</w:t>
      </w:r>
      <w:r w:rsidRPr="001938E9">
        <w:rPr>
          <w:rFonts w:ascii="Times New Roman" w:hAnsi="Times New Roman"/>
        </w:rPr>
        <w:t xml:space="preserve"> </w:t>
      </w:r>
      <w:r w:rsidR="004D18A6">
        <w:rPr>
          <w:rFonts w:ascii="Times New Roman" w:hAnsi="Times New Roman"/>
        </w:rPr>
        <w:t>O</w:t>
      </w:r>
      <w:r w:rsidR="004D18A6" w:rsidRPr="001938E9">
        <w:rPr>
          <w:rFonts w:ascii="Times New Roman" w:hAnsi="Times New Roman"/>
        </w:rPr>
        <w:t xml:space="preserve">n </w:t>
      </w:r>
      <w:r w:rsidRPr="001938E9">
        <w:rPr>
          <w:rFonts w:ascii="Times New Roman" w:hAnsi="Times New Roman"/>
        </w:rPr>
        <w:t xml:space="preserve">tribal land, </w:t>
      </w:r>
      <w:r w:rsidR="00D54521">
        <w:rPr>
          <w:rFonts w:ascii="Times New Roman" w:hAnsi="Times New Roman"/>
        </w:rPr>
        <w:t>the NLRB would foreg</w:t>
      </w:r>
      <w:r w:rsidRPr="001938E9">
        <w:rPr>
          <w:rFonts w:ascii="Times New Roman" w:hAnsi="Times New Roman"/>
        </w:rPr>
        <w:t xml:space="preserve">o </w:t>
      </w:r>
      <w:r w:rsidR="00D03702">
        <w:rPr>
          <w:rFonts w:ascii="Times New Roman" w:hAnsi="Times New Roman"/>
        </w:rPr>
        <w:t>jurisdiction;</w:t>
      </w:r>
      <w:r w:rsidRPr="001938E9">
        <w:rPr>
          <w:rFonts w:ascii="Times New Roman" w:hAnsi="Times New Roman"/>
        </w:rPr>
        <w:t xml:space="preserve"> off tribal land, </w:t>
      </w:r>
      <w:r w:rsidR="00D54521">
        <w:rPr>
          <w:rFonts w:ascii="Times New Roman" w:hAnsi="Times New Roman"/>
        </w:rPr>
        <w:t xml:space="preserve">the NLRB would assert </w:t>
      </w:r>
      <w:r w:rsidRPr="001938E9">
        <w:rPr>
          <w:rFonts w:ascii="Times New Roman" w:hAnsi="Times New Roman"/>
        </w:rPr>
        <w:t>jurisdiction.</w:t>
      </w:r>
      <w:r>
        <w:rPr>
          <w:rFonts w:ascii="Times New Roman" w:hAnsi="Times New Roman"/>
        </w:rPr>
        <w:t xml:space="preserve"> </w:t>
      </w:r>
      <w:r w:rsidRPr="001938E9">
        <w:rPr>
          <w:rFonts w:ascii="Times New Roman" w:hAnsi="Times New Roman"/>
        </w:rPr>
        <w:t xml:space="preserve">Under the </w:t>
      </w:r>
      <w:r w:rsidRPr="00661073">
        <w:rPr>
          <w:rFonts w:ascii="Times New Roman" w:hAnsi="Times New Roman"/>
          <w:i/>
        </w:rPr>
        <w:t>San Manuel</w:t>
      </w:r>
      <w:r w:rsidRPr="001938E9">
        <w:rPr>
          <w:rFonts w:ascii="Times New Roman" w:hAnsi="Times New Roman"/>
        </w:rPr>
        <w:t xml:space="preserve"> test, the NLRA will not apply if its application would “touch exclusive rights of self-governance in purely intramural matters.”</w:t>
      </w:r>
      <w:r>
        <w:rPr>
          <w:rFonts w:ascii="Times New Roman" w:hAnsi="Times New Roman"/>
        </w:rPr>
        <w:t xml:space="preserve"> </w:t>
      </w:r>
      <w:r w:rsidRPr="001938E9">
        <w:rPr>
          <w:rFonts w:ascii="Times New Roman" w:hAnsi="Times New Roman"/>
        </w:rPr>
        <w:t>Nor will the NLRA apply if it would “abrogate Indian treaty rights.”</w:t>
      </w:r>
      <w:r>
        <w:rPr>
          <w:rFonts w:ascii="Times New Roman" w:hAnsi="Times New Roman"/>
        </w:rPr>
        <w:t xml:space="preserve"> </w:t>
      </w:r>
      <w:r w:rsidRPr="001938E9">
        <w:rPr>
          <w:rFonts w:ascii="Times New Roman" w:hAnsi="Times New Roman"/>
        </w:rPr>
        <w:t xml:space="preserve">The Board in </w:t>
      </w:r>
      <w:r w:rsidRPr="00661073">
        <w:rPr>
          <w:rFonts w:ascii="Times New Roman" w:hAnsi="Times New Roman"/>
          <w:i/>
        </w:rPr>
        <w:t>San Manuel</w:t>
      </w:r>
      <w:r w:rsidRPr="001938E9">
        <w:rPr>
          <w:rFonts w:ascii="Times New Roman" w:hAnsi="Times New Roman"/>
        </w:rPr>
        <w:t xml:space="preserve"> also considered other factors, </w:t>
      </w:r>
      <w:r>
        <w:rPr>
          <w:rFonts w:ascii="Times New Roman" w:hAnsi="Times New Roman"/>
        </w:rPr>
        <w:t xml:space="preserve">including </w:t>
      </w:r>
      <w:r w:rsidR="004D18A6">
        <w:rPr>
          <w:rFonts w:ascii="Times New Roman" w:hAnsi="Times New Roman"/>
        </w:rPr>
        <w:t>whether t</w:t>
      </w:r>
      <w:r w:rsidRPr="001938E9">
        <w:rPr>
          <w:rFonts w:ascii="Times New Roman" w:hAnsi="Times New Roman"/>
        </w:rPr>
        <w:t>he casino in question was a typical commercial enterprise, employed non-Native Americans, and catered to non-Native American customers.</w:t>
      </w:r>
    </w:p>
    <w:p w14:paraId="1C6F823C" w14:textId="77777777" w:rsidR="003F7B7D" w:rsidRPr="001938E9" w:rsidRDefault="003F7B7D" w:rsidP="003F7B7D">
      <w:pPr>
        <w:ind w:left="180" w:right="360" w:firstLine="720"/>
        <w:rPr>
          <w:rFonts w:ascii="Times New Roman" w:hAnsi="Times New Roman"/>
        </w:rPr>
      </w:pPr>
    </w:p>
    <w:p w14:paraId="7CE3EA72" w14:textId="5FBE1FFC" w:rsidR="003F7B7D" w:rsidRPr="001938E9" w:rsidRDefault="003F7B7D" w:rsidP="003F7B7D">
      <w:pPr>
        <w:ind w:right="360" w:firstLine="720"/>
        <w:rPr>
          <w:rFonts w:ascii="Times New Roman" w:hAnsi="Times New Roman"/>
        </w:rPr>
      </w:pPr>
      <w:r w:rsidRPr="001938E9">
        <w:rPr>
          <w:rFonts w:ascii="Times New Roman" w:hAnsi="Times New Roman"/>
        </w:rPr>
        <w:t xml:space="preserve">In </w:t>
      </w:r>
      <w:r w:rsidRPr="00661073">
        <w:rPr>
          <w:rFonts w:ascii="Times New Roman" w:hAnsi="Times New Roman"/>
          <w:i/>
        </w:rPr>
        <w:t>San Manuel</w:t>
      </w:r>
      <w:r w:rsidRPr="001938E9">
        <w:rPr>
          <w:rFonts w:ascii="Times New Roman" w:hAnsi="Times New Roman"/>
        </w:rPr>
        <w:t>, the Board concluded that applying the NLRA would not interfere with the tribe’s autonomy, and the effects of the NLRA would not “extend beyond the tribe’s business enterprise and regulate intramural matters.”</w:t>
      </w:r>
      <w:r>
        <w:t xml:space="preserve"> </w:t>
      </w:r>
      <w:r w:rsidRPr="001938E9">
        <w:rPr>
          <w:rFonts w:ascii="Times New Roman" w:hAnsi="Times New Roman"/>
        </w:rPr>
        <w:t xml:space="preserve">However, the test articulated in </w:t>
      </w:r>
      <w:r w:rsidRPr="00661073">
        <w:rPr>
          <w:rFonts w:ascii="Times New Roman" w:hAnsi="Times New Roman"/>
          <w:i/>
        </w:rPr>
        <w:t>San Manuel</w:t>
      </w:r>
      <w:r w:rsidRPr="001938E9">
        <w:rPr>
          <w:rFonts w:ascii="Times New Roman" w:hAnsi="Times New Roman"/>
        </w:rPr>
        <w:t xml:space="preserve"> provides a careful balancing of tribal sovereignty interests with </w:t>
      </w:r>
      <w:r w:rsidR="004D18A6">
        <w:rPr>
          <w:rFonts w:ascii="Times New Roman" w:hAnsi="Times New Roman"/>
        </w:rPr>
        <w:t>the NLRA’s f</w:t>
      </w:r>
      <w:r w:rsidR="004D18A6" w:rsidRPr="001938E9">
        <w:rPr>
          <w:rFonts w:ascii="Times New Roman" w:hAnsi="Times New Roman"/>
        </w:rPr>
        <w:t xml:space="preserve">ederal </w:t>
      </w:r>
      <w:r w:rsidR="004D18A6">
        <w:rPr>
          <w:rFonts w:ascii="Times New Roman" w:hAnsi="Times New Roman"/>
        </w:rPr>
        <w:t>l</w:t>
      </w:r>
      <w:r w:rsidR="004D18A6" w:rsidRPr="001938E9">
        <w:rPr>
          <w:rFonts w:ascii="Times New Roman" w:hAnsi="Times New Roman"/>
        </w:rPr>
        <w:t xml:space="preserve">abor </w:t>
      </w:r>
      <w:r w:rsidRPr="001938E9">
        <w:rPr>
          <w:rFonts w:ascii="Times New Roman" w:hAnsi="Times New Roman"/>
        </w:rPr>
        <w:t>law protections.</w:t>
      </w:r>
      <w:r>
        <w:rPr>
          <w:rFonts w:ascii="Times New Roman" w:hAnsi="Times New Roman"/>
        </w:rPr>
        <w:t xml:space="preserve"> </w:t>
      </w:r>
      <w:r w:rsidRPr="001938E9">
        <w:rPr>
          <w:rFonts w:ascii="Times New Roman" w:hAnsi="Times New Roman"/>
        </w:rPr>
        <w:t>In a companion case</w:t>
      </w:r>
      <w:r w:rsidR="00703EC2">
        <w:rPr>
          <w:rFonts w:ascii="Times New Roman" w:hAnsi="Times New Roman"/>
        </w:rPr>
        <w:t>,</w:t>
      </w:r>
      <w:r w:rsidR="00703EC2" w:rsidRPr="00703EC2">
        <w:rPr>
          <w:rFonts w:ascii="Times New Roman" w:hAnsi="Times New Roman"/>
          <w:i/>
        </w:rPr>
        <w:t xml:space="preserve"> </w:t>
      </w:r>
      <w:r w:rsidR="00703EC2" w:rsidRPr="00E33ACA">
        <w:rPr>
          <w:rFonts w:ascii="Times New Roman" w:hAnsi="Times New Roman"/>
          <w:i/>
        </w:rPr>
        <w:t>Yukon Kuskokwim Health</w:t>
      </w:r>
      <w:r w:rsidR="00703EC2">
        <w:rPr>
          <w:rFonts w:ascii="Times New Roman" w:hAnsi="Times New Roman"/>
          <w:i/>
        </w:rPr>
        <w:t xml:space="preserve"> </w:t>
      </w:r>
      <w:r w:rsidR="00703EC2" w:rsidRPr="00E33ACA">
        <w:rPr>
          <w:rFonts w:ascii="Times New Roman" w:hAnsi="Times New Roman"/>
          <w:i/>
        </w:rPr>
        <w:t>Corp</w:t>
      </w:r>
      <w:r w:rsidR="00703EC2">
        <w:rPr>
          <w:rFonts w:ascii="Times New Roman" w:hAnsi="Times New Roman"/>
          <w:i/>
        </w:rPr>
        <w:t>.</w:t>
      </w:r>
      <w:r w:rsidR="00703EC2" w:rsidRPr="00E33ACA">
        <w:rPr>
          <w:rFonts w:ascii="Times New Roman" w:hAnsi="Times New Roman"/>
        </w:rPr>
        <w:t xml:space="preserve">, </w:t>
      </w:r>
      <w:r w:rsidR="00703EC2" w:rsidRPr="001938E9">
        <w:rPr>
          <w:rFonts w:ascii="Times New Roman" w:hAnsi="Times New Roman"/>
        </w:rPr>
        <w:t>341 NLRB No. 139 (2004)</w:t>
      </w:r>
      <w:r w:rsidRPr="001938E9">
        <w:rPr>
          <w:rFonts w:ascii="Times New Roman" w:hAnsi="Times New Roman"/>
        </w:rPr>
        <w:t>, the</w:t>
      </w:r>
      <w:r>
        <w:rPr>
          <w:rFonts w:ascii="Times New Roman" w:hAnsi="Times New Roman"/>
        </w:rPr>
        <w:t xml:space="preserve"> Board tipped the </w:t>
      </w:r>
      <w:r w:rsidRPr="001938E9">
        <w:rPr>
          <w:rFonts w:ascii="Times New Roman" w:hAnsi="Times New Roman"/>
        </w:rPr>
        <w:t>balanc</w:t>
      </w:r>
      <w:r>
        <w:rPr>
          <w:rFonts w:ascii="Times New Roman" w:hAnsi="Times New Roman"/>
        </w:rPr>
        <w:t>e</w:t>
      </w:r>
      <w:r w:rsidR="007A436D">
        <w:rPr>
          <w:rFonts w:ascii="Times New Roman" w:hAnsi="Times New Roman"/>
        </w:rPr>
        <w:t xml:space="preserve"> the other way and </w:t>
      </w:r>
      <w:proofErr w:type="gramStart"/>
      <w:r w:rsidRPr="001938E9">
        <w:rPr>
          <w:rFonts w:ascii="Times New Roman" w:hAnsi="Times New Roman"/>
        </w:rPr>
        <w:t>didn’t</w:t>
      </w:r>
      <w:proofErr w:type="gramEnd"/>
      <w:r w:rsidRPr="001938E9">
        <w:rPr>
          <w:rFonts w:ascii="Times New Roman" w:hAnsi="Times New Roman"/>
        </w:rPr>
        <w:t xml:space="preserve"> assert jurisdiction.</w:t>
      </w:r>
    </w:p>
    <w:p w14:paraId="4EA60F86" w14:textId="77777777" w:rsidR="003F7B7D" w:rsidRPr="001938E9" w:rsidRDefault="003F7B7D" w:rsidP="003F7B7D">
      <w:pPr>
        <w:ind w:left="180" w:right="360" w:firstLine="720"/>
        <w:rPr>
          <w:rFonts w:ascii="Times New Roman" w:hAnsi="Times New Roman"/>
        </w:rPr>
      </w:pPr>
    </w:p>
    <w:p w14:paraId="739F9D0A" w14:textId="6452612B" w:rsidR="003F7B7D" w:rsidRDefault="003F7B7D" w:rsidP="003F7B7D">
      <w:pPr>
        <w:ind w:right="360" w:firstLine="720"/>
        <w:rPr>
          <w:rFonts w:ascii="Times New Roman" w:hAnsi="Times New Roman"/>
        </w:rPr>
      </w:pPr>
      <w:r w:rsidRPr="001938E9">
        <w:rPr>
          <w:rFonts w:ascii="Times New Roman" w:hAnsi="Times New Roman"/>
        </w:rPr>
        <w:lastRenderedPageBreak/>
        <w:t>The AFL-CIO support</w:t>
      </w:r>
      <w:r w:rsidR="00703EC2">
        <w:rPr>
          <w:rFonts w:ascii="Times New Roman" w:hAnsi="Times New Roman"/>
        </w:rPr>
        <w:t>s</w:t>
      </w:r>
      <w:r w:rsidRPr="001938E9">
        <w:rPr>
          <w:rFonts w:ascii="Times New Roman" w:hAnsi="Times New Roman"/>
        </w:rPr>
        <w:t xml:space="preserve"> the principle of sovereignty for tribal governments, but does not believe </w:t>
      </w:r>
      <w:r w:rsidR="00703EC2">
        <w:rPr>
          <w:rFonts w:ascii="Times New Roman" w:hAnsi="Times New Roman"/>
        </w:rPr>
        <w:t xml:space="preserve">that employers should use </w:t>
      </w:r>
      <w:r w:rsidRPr="001938E9">
        <w:rPr>
          <w:rFonts w:ascii="Times New Roman" w:hAnsi="Times New Roman"/>
        </w:rPr>
        <w:t>this principle to deny workers their collective bargaining rights and freedom of association.</w:t>
      </w:r>
      <w:r>
        <w:rPr>
          <w:rFonts w:ascii="Times New Roman" w:hAnsi="Times New Roman"/>
        </w:rPr>
        <w:t xml:space="preserve"> </w:t>
      </w:r>
      <w:r w:rsidRPr="001938E9">
        <w:rPr>
          <w:rFonts w:ascii="Times New Roman" w:hAnsi="Times New Roman"/>
        </w:rPr>
        <w:t>While the AFL-CIO continues to support the concept of tribal sovereignty in truly internal, self-governance matters, it is in no position to repudiate fundamental human rights that belong to every worker in every nation.</w:t>
      </w:r>
      <w:r>
        <w:rPr>
          <w:rFonts w:ascii="Times New Roman" w:hAnsi="Times New Roman"/>
        </w:rPr>
        <w:t xml:space="preserve"> </w:t>
      </w:r>
      <w:r w:rsidRPr="001938E9">
        <w:rPr>
          <w:rFonts w:ascii="Times New Roman" w:hAnsi="Times New Roman"/>
        </w:rPr>
        <w:t>Workers cannot be left without any legally enforceable right to form unions and bargain collectively in instances where they are working for a tribal enterprise which is simply a commercial operation competing with non-tribal businesses.</w:t>
      </w:r>
    </w:p>
    <w:p w14:paraId="4D5877C0" w14:textId="77777777" w:rsidR="003F7B7D" w:rsidRDefault="003F7B7D" w:rsidP="003F7B7D">
      <w:pPr>
        <w:rPr>
          <w:sz w:val="22"/>
          <w:szCs w:val="22"/>
        </w:rPr>
      </w:pPr>
      <w:r>
        <w:rPr>
          <w:rFonts w:ascii="Times New Roman" w:hAnsi="Times New Roman"/>
        </w:rPr>
        <w:tab/>
        <w:t xml:space="preserve"> </w:t>
      </w:r>
    </w:p>
    <w:p w14:paraId="55F6E8F9" w14:textId="0327FC1D" w:rsidR="003F7B7D" w:rsidRDefault="00703EC2" w:rsidP="003F7B7D">
      <w:pPr>
        <w:ind w:firstLine="720"/>
        <w:rPr>
          <w:sz w:val="22"/>
          <w:szCs w:val="22"/>
        </w:rPr>
      </w:pPr>
      <w:r>
        <w:rPr>
          <w:rFonts w:ascii="Times New Roman" w:hAnsi="Times New Roman"/>
        </w:rPr>
        <w:t>T</w:t>
      </w:r>
      <w:r w:rsidRPr="007E211C">
        <w:rPr>
          <w:rFonts w:ascii="Times New Roman" w:hAnsi="Times New Roman"/>
        </w:rPr>
        <w:t xml:space="preserve">he International </w:t>
      </w:r>
      <w:proofErr w:type="spellStart"/>
      <w:r w:rsidRPr="007E211C">
        <w:rPr>
          <w:rFonts w:ascii="Times New Roman" w:hAnsi="Times New Roman"/>
        </w:rPr>
        <w:t>Labo</w:t>
      </w:r>
      <w:r>
        <w:rPr>
          <w:rFonts w:ascii="Times New Roman" w:hAnsi="Times New Roman"/>
        </w:rPr>
        <w:t>u</w:t>
      </w:r>
      <w:r w:rsidRPr="007E211C">
        <w:rPr>
          <w:rFonts w:ascii="Times New Roman" w:hAnsi="Times New Roman"/>
        </w:rPr>
        <w:t>r</w:t>
      </w:r>
      <w:proofErr w:type="spellEnd"/>
      <w:r w:rsidRPr="007E211C">
        <w:rPr>
          <w:rFonts w:ascii="Times New Roman" w:hAnsi="Times New Roman"/>
        </w:rPr>
        <w:t xml:space="preserve"> Organization (ILO), an agency of the United Nations, </w:t>
      </w:r>
      <w:r>
        <w:rPr>
          <w:rFonts w:ascii="Times New Roman" w:hAnsi="Times New Roman"/>
        </w:rPr>
        <w:t>has confirmed t</w:t>
      </w:r>
      <w:r w:rsidR="003F7B7D" w:rsidRPr="007E211C">
        <w:rPr>
          <w:rFonts w:ascii="Times New Roman" w:hAnsi="Times New Roman"/>
        </w:rPr>
        <w:t xml:space="preserve">his view in response to a question about whether excluding </w:t>
      </w:r>
      <w:r w:rsidR="00ED606D">
        <w:rPr>
          <w:rFonts w:ascii="Times New Roman" w:hAnsi="Times New Roman"/>
        </w:rPr>
        <w:t>(</w:t>
      </w:r>
      <w:r w:rsidRPr="007E211C">
        <w:rPr>
          <w:rFonts w:ascii="Times New Roman" w:hAnsi="Times New Roman"/>
        </w:rPr>
        <w:t>from the NLRA</w:t>
      </w:r>
      <w:r w:rsidR="00ED606D">
        <w:rPr>
          <w:rFonts w:ascii="Times New Roman" w:hAnsi="Times New Roman"/>
        </w:rPr>
        <w:t>)</w:t>
      </w:r>
      <w:r w:rsidRPr="007E211C">
        <w:rPr>
          <w:rFonts w:ascii="Times New Roman" w:hAnsi="Times New Roman"/>
        </w:rPr>
        <w:t xml:space="preserve"> </w:t>
      </w:r>
      <w:r w:rsidR="003F7B7D" w:rsidRPr="007E211C">
        <w:rPr>
          <w:rFonts w:ascii="Times New Roman" w:hAnsi="Times New Roman"/>
        </w:rPr>
        <w:t>workers employed on tribal lands would con</w:t>
      </w:r>
      <w:r w:rsidR="003F7B7D">
        <w:rPr>
          <w:rFonts w:ascii="Times New Roman" w:hAnsi="Times New Roman"/>
        </w:rPr>
        <w:t xml:space="preserve">form </w:t>
      </w:r>
      <w:proofErr w:type="gramStart"/>
      <w:r w:rsidR="003F7B7D">
        <w:rPr>
          <w:rFonts w:ascii="Times New Roman" w:hAnsi="Times New Roman"/>
        </w:rPr>
        <w:t>with</w:t>
      </w:r>
      <w:proofErr w:type="gramEnd"/>
      <w:r w:rsidR="003F7B7D">
        <w:rPr>
          <w:rFonts w:ascii="Times New Roman" w:hAnsi="Times New Roman"/>
        </w:rPr>
        <w:t xml:space="preserve"> principles of f</w:t>
      </w:r>
      <w:r w:rsidR="003F7B7D" w:rsidRPr="007E211C">
        <w:rPr>
          <w:rFonts w:ascii="Times New Roman" w:hAnsi="Times New Roman"/>
        </w:rPr>
        <w:t xml:space="preserve">reedom of </w:t>
      </w:r>
      <w:r w:rsidR="003F7B7D">
        <w:rPr>
          <w:rFonts w:ascii="Times New Roman" w:hAnsi="Times New Roman"/>
        </w:rPr>
        <w:t>a</w:t>
      </w:r>
      <w:r w:rsidR="003F7B7D" w:rsidRPr="007E211C">
        <w:rPr>
          <w:rFonts w:ascii="Times New Roman" w:hAnsi="Times New Roman"/>
        </w:rPr>
        <w:t>ssociation</w:t>
      </w:r>
      <w:r>
        <w:rPr>
          <w:rFonts w:ascii="Times New Roman" w:hAnsi="Times New Roman"/>
        </w:rPr>
        <w:t>. These values</w:t>
      </w:r>
      <w:r w:rsidRPr="007E211C">
        <w:rPr>
          <w:rFonts w:ascii="Times New Roman" w:hAnsi="Times New Roman"/>
        </w:rPr>
        <w:t xml:space="preserve"> </w:t>
      </w:r>
      <w:r w:rsidR="003F7B7D" w:rsidRPr="007E211C">
        <w:rPr>
          <w:rFonts w:ascii="Times New Roman" w:hAnsi="Times New Roman"/>
        </w:rPr>
        <w:t xml:space="preserve">are at the core of the ILO Constitution and the ILO’s </w:t>
      </w:r>
      <w:r>
        <w:rPr>
          <w:rFonts w:ascii="Times New Roman" w:hAnsi="Times New Roman"/>
        </w:rPr>
        <w:t xml:space="preserve">Declaration on </w:t>
      </w:r>
      <w:r w:rsidR="003F7B7D" w:rsidRPr="007E211C">
        <w:rPr>
          <w:rFonts w:ascii="Times New Roman" w:hAnsi="Times New Roman"/>
        </w:rPr>
        <w:t>Fundamental Principles and Rights at Work.</w:t>
      </w:r>
      <w:r w:rsidR="005B716A">
        <w:rPr>
          <w:rFonts w:ascii="Times New Roman" w:hAnsi="Times New Roman"/>
        </w:rPr>
        <w:t xml:space="preserve"> </w:t>
      </w:r>
      <w:r w:rsidR="00ED606D">
        <w:rPr>
          <w:rFonts w:ascii="Times New Roman" w:hAnsi="Times New Roman"/>
        </w:rPr>
        <w:t>T</w:t>
      </w:r>
      <w:r w:rsidR="003F7B7D" w:rsidRPr="007E211C">
        <w:rPr>
          <w:rFonts w:ascii="Times New Roman" w:hAnsi="Times New Roman"/>
        </w:rPr>
        <w:t xml:space="preserve">he Director for the International </w:t>
      </w:r>
      <w:proofErr w:type="spellStart"/>
      <w:r w:rsidR="003F7B7D" w:rsidRPr="007E211C">
        <w:rPr>
          <w:rFonts w:ascii="Times New Roman" w:hAnsi="Times New Roman"/>
        </w:rPr>
        <w:t>Labour</w:t>
      </w:r>
      <w:proofErr w:type="spellEnd"/>
      <w:r w:rsidR="003F7B7D" w:rsidRPr="007E211C">
        <w:rPr>
          <w:rFonts w:ascii="Times New Roman" w:hAnsi="Times New Roman"/>
        </w:rPr>
        <w:t xml:space="preserve"> Standards Division wrote that in the absence of tribal ordinances offering full protection of internationally recognized rights, “</w:t>
      </w:r>
      <w:proofErr w:type="gramStart"/>
      <w:r w:rsidR="003F7B7D" w:rsidRPr="007E211C">
        <w:rPr>
          <w:rFonts w:ascii="Times New Roman" w:hAnsi="Times New Roman"/>
        </w:rPr>
        <w:t>it</w:t>
      </w:r>
      <w:proofErr w:type="gramEnd"/>
      <w:r w:rsidR="003F7B7D" w:rsidRPr="007E211C">
        <w:rPr>
          <w:rFonts w:ascii="Times New Roman" w:hAnsi="Times New Roman"/>
        </w:rPr>
        <w:t xml:space="preserve"> is critical that the State (the national authority) takes ultimate responsibility for ensuring respect for freedom of association and collective bargain</w:t>
      </w:r>
      <w:r w:rsidR="00ED606D">
        <w:rPr>
          <w:rFonts w:ascii="Times New Roman" w:hAnsi="Times New Roman"/>
        </w:rPr>
        <w:t>ing rights</w:t>
      </w:r>
      <w:r w:rsidR="003F7B7D" w:rsidRPr="007E211C">
        <w:rPr>
          <w:rFonts w:ascii="Times New Roman" w:hAnsi="Times New Roman"/>
        </w:rPr>
        <w:t xml:space="preserve"> throughout its territory.”</w:t>
      </w:r>
      <w:r w:rsidR="005B716A">
        <w:rPr>
          <w:rFonts w:ascii="Times New Roman" w:hAnsi="Times New Roman"/>
        </w:rPr>
        <w:t xml:space="preserve"> </w:t>
      </w:r>
      <w:r w:rsidR="003F7B7D" w:rsidRPr="007E211C">
        <w:rPr>
          <w:rFonts w:ascii="Times New Roman" w:hAnsi="Times New Roman"/>
        </w:rPr>
        <w:t xml:space="preserve">In other words, if the tribes themselves </w:t>
      </w:r>
      <w:proofErr w:type="gramStart"/>
      <w:r w:rsidR="003F7B7D" w:rsidRPr="007E211C">
        <w:rPr>
          <w:rFonts w:ascii="Times New Roman" w:hAnsi="Times New Roman"/>
        </w:rPr>
        <w:t>don’t</w:t>
      </w:r>
      <w:proofErr w:type="gramEnd"/>
      <w:r w:rsidR="003F7B7D" w:rsidRPr="007E211C">
        <w:rPr>
          <w:rFonts w:ascii="Times New Roman" w:hAnsi="Times New Roman"/>
        </w:rPr>
        <w:t xml:space="preserve"> guarantee these basic rights</w:t>
      </w:r>
      <w:r w:rsidR="00ED606D">
        <w:rPr>
          <w:rFonts w:ascii="Times New Roman" w:hAnsi="Times New Roman"/>
        </w:rPr>
        <w:t>—</w:t>
      </w:r>
      <w:r w:rsidR="003F7B7D" w:rsidRPr="007E211C">
        <w:rPr>
          <w:rFonts w:ascii="Times New Roman" w:hAnsi="Times New Roman"/>
        </w:rPr>
        <w:t>and many do not</w:t>
      </w:r>
      <w:r w:rsidR="00ED606D">
        <w:rPr>
          <w:rFonts w:ascii="Times New Roman" w:hAnsi="Times New Roman"/>
        </w:rPr>
        <w:t xml:space="preserve">, </w:t>
      </w:r>
      <w:r w:rsidR="003F7B7D" w:rsidRPr="007E211C">
        <w:rPr>
          <w:rFonts w:ascii="Times New Roman" w:hAnsi="Times New Roman"/>
        </w:rPr>
        <w:t xml:space="preserve">the U.S. government must not abdicate its responsibility to protect them. </w:t>
      </w:r>
    </w:p>
    <w:p w14:paraId="7C548BB2" w14:textId="77777777" w:rsidR="003F7B7D" w:rsidRPr="001938E9" w:rsidRDefault="003F7B7D" w:rsidP="003F7B7D">
      <w:pPr>
        <w:ind w:left="180" w:right="360"/>
        <w:rPr>
          <w:rFonts w:ascii="Times New Roman" w:hAnsi="Times New Roman"/>
        </w:rPr>
      </w:pPr>
    </w:p>
    <w:p w14:paraId="52801370" w14:textId="7B4F3E92" w:rsidR="003F7B7D" w:rsidRPr="001938E9" w:rsidRDefault="003F7B7D" w:rsidP="003F7B7D">
      <w:pPr>
        <w:ind w:right="360" w:firstLine="900"/>
        <w:rPr>
          <w:rFonts w:ascii="Times New Roman" w:hAnsi="Times New Roman"/>
        </w:rPr>
      </w:pPr>
      <w:r w:rsidRPr="001938E9">
        <w:rPr>
          <w:rFonts w:ascii="Times New Roman" w:hAnsi="Times New Roman"/>
        </w:rPr>
        <w:t>Notwithstanding the importance of the principle of tribal sovereignty, the fundamental human rights of employees are not the exclusive concern of tribal enterprises or tribal governments.</w:t>
      </w:r>
      <w:r>
        <w:rPr>
          <w:rFonts w:ascii="Times New Roman" w:hAnsi="Times New Roman"/>
        </w:rPr>
        <w:t xml:space="preserve"> </w:t>
      </w:r>
      <w:r w:rsidRPr="001938E9">
        <w:rPr>
          <w:rFonts w:ascii="Times New Roman" w:hAnsi="Times New Roman"/>
        </w:rPr>
        <w:t>In fact, the vast majority of employees of these commercial enterprises, such as casinos, are not Native Americans.</w:t>
      </w:r>
      <w:r>
        <w:rPr>
          <w:rFonts w:ascii="Times New Roman" w:hAnsi="Times New Roman"/>
        </w:rPr>
        <w:t xml:space="preserve"> </w:t>
      </w:r>
      <w:r w:rsidRPr="001938E9">
        <w:rPr>
          <w:rFonts w:ascii="Times New Roman" w:hAnsi="Times New Roman"/>
        </w:rPr>
        <w:t xml:space="preserve">They therefore have no voice in setting tribal policy and no recourse to tribal governments for the protection of their rights. </w:t>
      </w:r>
    </w:p>
    <w:p w14:paraId="16769F8F" w14:textId="77777777" w:rsidR="003F7B7D" w:rsidRPr="001938E9" w:rsidRDefault="003F7B7D" w:rsidP="003F7B7D">
      <w:pPr>
        <w:ind w:left="180" w:right="360"/>
        <w:rPr>
          <w:rFonts w:ascii="Times New Roman" w:hAnsi="Times New Roman"/>
        </w:rPr>
      </w:pPr>
    </w:p>
    <w:p w14:paraId="5FD3EBB1" w14:textId="51B14A5F" w:rsidR="003F7B7D" w:rsidRPr="001938E9" w:rsidRDefault="003F7B7D" w:rsidP="003F7B7D">
      <w:pPr>
        <w:ind w:right="360" w:firstLine="900"/>
        <w:rPr>
          <w:rFonts w:ascii="Times New Roman" w:hAnsi="Times New Roman"/>
        </w:rPr>
      </w:pPr>
      <w:r w:rsidRPr="001938E9">
        <w:rPr>
          <w:rFonts w:ascii="Times New Roman" w:hAnsi="Times New Roman"/>
        </w:rPr>
        <w:t>The AFL-CIO oppose</w:t>
      </w:r>
      <w:r w:rsidR="00C455E4">
        <w:rPr>
          <w:rFonts w:ascii="Times New Roman" w:hAnsi="Times New Roman"/>
        </w:rPr>
        <w:t>s</w:t>
      </w:r>
      <w:r w:rsidRPr="001938E9">
        <w:rPr>
          <w:rFonts w:ascii="Times New Roman" w:hAnsi="Times New Roman"/>
        </w:rPr>
        <w:t xml:space="preserve"> any effort to exempt on an across</w:t>
      </w:r>
      <w:r>
        <w:rPr>
          <w:rFonts w:ascii="Times New Roman" w:hAnsi="Times New Roman"/>
        </w:rPr>
        <w:t>-</w:t>
      </w:r>
      <w:r w:rsidRPr="001938E9">
        <w:rPr>
          <w:rFonts w:ascii="Times New Roman" w:hAnsi="Times New Roman"/>
        </w:rPr>
        <w:t>the</w:t>
      </w:r>
      <w:r>
        <w:rPr>
          <w:rFonts w:ascii="Times New Roman" w:hAnsi="Times New Roman"/>
        </w:rPr>
        <w:t>-</w:t>
      </w:r>
      <w:r w:rsidRPr="001938E9">
        <w:rPr>
          <w:rFonts w:ascii="Times New Roman" w:hAnsi="Times New Roman"/>
        </w:rPr>
        <w:t xml:space="preserve">board basis all tribal enterprises from the NLRA, without </w:t>
      </w:r>
      <w:r w:rsidR="00C455E4">
        <w:rPr>
          <w:rFonts w:ascii="Times New Roman" w:hAnsi="Times New Roman"/>
        </w:rPr>
        <w:t>undertaking</w:t>
      </w:r>
      <w:r w:rsidRPr="001938E9">
        <w:rPr>
          <w:rFonts w:ascii="Times New Roman" w:hAnsi="Times New Roman"/>
        </w:rPr>
        <w:t xml:space="preserve"> a specific review of all the circumstances</w:t>
      </w:r>
      <w:r w:rsidR="006B7CF9">
        <w:rPr>
          <w:rFonts w:ascii="Times New Roman" w:hAnsi="Times New Roman"/>
        </w:rPr>
        <w:t>—</w:t>
      </w:r>
      <w:r w:rsidRPr="001938E9">
        <w:rPr>
          <w:rFonts w:ascii="Times New Roman" w:hAnsi="Times New Roman"/>
        </w:rPr>
        <w:t xml:space="preserve">as </w:t>
      </w:r>
      <w:r w:rsidR="006B7CF9" w:rsidRPr="001938E9">
        <w:rPr>
          <w:rFonts w:ascii="Times New Roman" w:hAnsi="Times New Roman"/>
        </w:rPr>
        <w:t xml:space="preserve">current NLRB standards </w:t>
      </w:r>
      <w:r w:rsidRPr="001938E9">
        <w:rPr>
          <w:rFonts w:ascii="Times New Roman" w:hAnsi="Times New Roman"/>
        </w:rPr>
        <w:t>provide.</w:t>
      </w:r>
      <w:r>
        <w:rPr>
          <w:rFonts w:ascii="Times New Roman" w:hAnsi="Times New Roman"/>
        </w:rPr>
        <w:t xml:space="preserve"> </w:t>
      </w:r>
      <w:r w:rsidRPr="001938E9">
        <w:rPr>
          <w:rFonts w:ascii="Times New Roman" w:hAnsi="Times New Roman"/>
        </w:rPr>
        <w:t xml:space="preserve">Where the enterprise </w:t>
      </w:r>
      <w:r w:rsidR="006B7CF9">
        <w:rPr>
          <w:rFonts w:ascii="Times New Roman" w:hAnsi="Times New Roman"/>
        </w:rPr>
        <w:t>employs</w:t>
      </w:r>
      <w:r w:rsidR="006B7CF9" w:rsidRPr="001938E9">
        <w:rPr>
          <w:rFonts w:ascii="Times New Roman" w:hAnsi="Times New Roman"/>
        </w:rPr>
        <w:t xml:space="preserve"> </w:t>
      </w:r>
      <w:r w:rsidRPr="001938E9">
        <w:rPr>
          <w:rFonts w:ascii="Times New Roman" w:hAnsi="Times New Roman"/>
        </w:rPr>
        <w:t xml:space="preserve">mainly Native American employees with mainly Native American customers, and </w:t>
      </w:r>
      <w:r w:rsidR="006B7CF9" w:rsidRPr="001938E9">
        <w:rPr>
          <w:rFonts w:ascii="Times New Roman" w:hAnsi="Times New Roman"/>
        </w:rPr>
        <w:t>involv</w:t>
      </w:r>
      <w:r w:rsidR="006B7CF9">
        <w:rPr>
          <w:rFonts w:ascii="Times New Roman" w:hAnsi="Times New Roman"/>
        </w:rPr>
        <w:t>es</w:t>
      </w:r>
      <w:r w:rsidR="006B7CF9" w:rsidRPr="001938E9">
        <w:rPr>
          <w:rFonts w:ascii="Times New Roman" w:hAnsi="Times New Roman"/>
        </w:rPr>
        <w:t xml:space="preserve"> </w:t>
      </w:r>
      <w:r w:rsidRPr="001938E9">
        <w:rPr>
          <w:rFonts w:ascii="Times New Roman" w:hAnsi="Times New Roman"/>
        </w:rPr>
        <w:t xml:space="preserve">self-governance or intramural affairs, </w:t>
      </w:r>
      <w:r>
        <w:rPr>
          <w:rFonts w:ascii="Times New Roman" w:hAnsi="Times New Roman"/>
        </w:rPr>
        <w:t xml:space="preserve">leaving the matter to tribal governments </w:t>
      </w:r>
      <w:r w:rsidRPr="001938E9">
        <w:rPr>
          <w:rFonts w:ascii="Times New Roman" w:hAnsi="Times New Roman"/>
        </w:rPr>
        <w:t>may</w:t>
      </w:r>
      <w:r>
        <w:rPr>
          <w:rFonts w:ascii="Times New Roman" w:hAnsi="Times New Roman"/>
        </w:rPr>
        <w:t xml:space="preserve"> be</w:t>
      </w:r>
      <w:r w:rsidRPr="001938E9">
        <w:rPr>
          <w:rFonts w:ascii="Times New Roman" w:hAnsi="Times New Roman"/>
        </w:rPr>
        <w:t xml:space="preserve"> appropriate</w:t>
      </w:r>
      <w:r>
        <w:rPr>
          <w:rFonts w:ascii="Times New Roman" w:hAnsi="Times New Roman"/>
        </w:rPr>
        <w:t>. However,</w:t>
      </w:r>
      <w:r w:rsidRPr="001938E9">
        <w:rPr>
          <w:rFonts w:ascii="Times New Roman" w:hAnsi="Times New Roman"/>
        </w:rPr>
        <w:t xml:space="preserve"> where the business employs primarily non-Native American employees and caters to primarily non-Native American customers, there is no basis for depriving employees</w:t>
      </w:r>
      <w:r>
        <w:rPr>
          <w:rFonts w:ascii="Times New Roman" w:hAnsi="Times New Roman"/>
        </w:rPr>
        <w:t xml:space="preserve"> of</w:t>
      </w:r>
      <w:r w:rsidRPr="001938E9">
        <w:rPr>
          <w:rFonts w:ascii="Times New Roman" w:hAnsi="Times New Roman"/>
        </w:rPr>
        <w:t xml:space="preserve"> their rights and protections under the National Labor Relations Act. </w:t>
      </w:r>
    </w:p>
    <w:p w14:paraId="6005CEB9" w14:textId="77777777" w:rsidR="003F7B7D" w:rsidRDefault="003F7B7D" w:rsidP="003F7B7D">
      <w:pPr>
        <w:ind w:right="360"/>
        <w:rPr>
          <w:rFonts w:ascii="Times New Roman" w:hAnsi="Times New Roman"/>
        </w:rPr>
      </w:pPr>
    </w:p>
    <w:p w14:paraId="59D87ED9" w14:textId="77777777" w:rsidR="003F7B7D" w:rsidRDefault="003F7B7D" w:rsidP="003F7B7D">
      <w:pPr>
        <w:ind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Sincerely,</w:t>
      </w:r>
    </w:p>
    <w:p w14:paraId="0E1BD3D8" w14:textId="5523C726" w:rsidR="003F7B7D" w:rsidRDefault="0033469C" w:rsidP="003F7B7D">
      <w:pPr>
        <w:ind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3469C">
        <w:rPr>
          <w:rFonts w:ascii="Times New Roman" w:hAnsi="Times New Roman"/>
          <w:noProof/>
        </w:rPr>
        <w:drawing>
          <wp:inline distT="0" distB="0" distL="0" distR="0" wp14:anchorId="2C38C3F1" wp14:editId="3D175ADC">
            <wp:extent cx="1508760" cy="769620"/>
            <wp:effectExtent l="0" t="0" r="0" b="0"/>
            <wp:docPr id="3" name="Picture 3" descr="G:\Bill's smal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ill's small signa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769620"/>
                    </a:xfrm>
                    <a:prstGeom prst="rect">
                      <a:avLst/>
                    </a:prstGeom>
                    <a:noFill/>
                    <a:ln>
                      <a:noFill/>
                    </a:ln>
                  </pic:spPr>
                </pic:pic>
              </a:graphicData>
            </a:graphic>
          </wp:inline>
        </w:drawing>
      </w:r>
    </w:p>
    <w:p w14:paraId="5C9AB5DF" w14:textId="77777777" w:rsidR="003F7B7D" w:rsidRDefault="003F7B7D" w:rsidP="003F7B7D">
      <w:pPr>
        <w:ind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William Samuel, Director</w:t>
      </w:r>
    </w:p>
    <w:p w14:paraId="364012E4" w14:textId="77777777" w:rsidR="003F7B7D" w:rsidRDefault="003F7B7D" w:rsidP="003F7B7D">
      <w:pPr>
        <w:ind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Government Affairs Department</w:t>
      </w:r>
    </w:p>
    <w:p w14:paraId="5321775D" w14:textId="77777777" w:rsidR="003F7B7D" w:rsidRDefault="003F7B7D" w:rsidP="003F7B7D">
      <w:pPr>
        <w:ind w:right="360"/>
        <w:rPr>
          <w:rFonts w:ascii="Times New Roman" w:hAnsi="Times New Roman"/>
        </w:rPr>
      </w:pPr>
    </w:p>
    <w:sectPr w:rsidR="003F7B7D" w:rsidSect="00D2171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B54E2" w14:textId="77777777" w:rsidR="00DC1D99" w:rsidRDefault="00DC1D99" w:rsidP="00C46D01">
      <w:r>
        <w:separator/>
      </w:r>
    </w:p>
  </w:endnote>
  <w:endnote w:type="continuationSeparator" w:id="0">
    <w:p w14:paraId="7D94A6D0" w14:textId="77777777" w:rsidR="00DC1D99" w:rsidRDefault="00DC1D99" w:rsidP="00C4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000000000000000"/>
    <w:charset w:val="00"/>
    <w:family w:val="modern"/>
    <w:notTrueType/>
    <w:pitch w:val="variable"/>
    <w:sig w:usb0="00000007" w:usb1="00000000" w:usb2="00000000" w:usb3="00000000" w:csb0="00000093" w:csb1="00000000"/>
  </w:font>
  <w:font w:name="Aleo">
    <w:altName w:val="Calibri Light"/>
    <w:panose1 w:val="00000000000000000000"/>
    <w:charset w:val="00"/>
    <w:family w:val="swiss"/>
    <w:notTrueType/>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1A98" w14:textId="77777777" w:rsidR="00C46D01" w:rsidRDefault="00C46D01">
    <w:pPr>
      <w:pStyle w:val="Footer"/>
    </w:pPr>
    <w:r>
      <w:rPr>
        <w:noProof/>
      </w:rPr>
      <w:drawing>
        <wp:inline distT="0" distB="0" distL="0" distR="0" wp14:anchorId="5A1F8EFC" wp14:editId="07BD3C3B">
          <wp:extent cx="5944235"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753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F500F" w14:textId="77777777" w:rsidR="009610D1" w:rsidRDefault="009610D1" w:rsidP="009610D1">
    <w:pPr>
      <w:pStyle w:val="Footer"/>
    </w:pPr>
    <w:r>
      <w:rPr>
        <w:noProof/>
      </w:rPr>
      <w:drawing>
        <wp:inline distT="0" distB="0" distL="0" distR="0" wp14:anchorId="798ED4D9" wp14:editId="77888FDA">
          <wp:extent cx="5944235" cy="97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75360"/>
                  </a:xfrm>
                  <a:prstGeom prst="rect">
                    <a:avLst/>
                  </a:prstGeom>
                  <a:noFill/>
                </pic:spPr>
              </pic:pic>
            </a:graphicData>
          </a:graphic>
        </wp:inline>
      </w:drawing>
    </w:r>
  </w:p>
  <w:p w14:paraId="783F2B29" w14:textId="77777777" w:rsidR="009610D1" w:rsidRDefault="00961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6D09" w14:textId="77777777" w:rsidR="00DC1D99" w:rsidRDefault="00DC1D99" w:rsidP="00C46D01">
      <w:r>
        <w:separator/>
      </w:r>
    </w:p>
  </w:footnote>
  <w:footnote w:type="continuationSeparator" w:id="0">
    <w:p w14:paraId="03740C22" w14:textId="77777777" w:rsidR="00DC1D99" w:rsidRDefault="00DC1D99" w:rsidP="00C4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BB72" w14:textId="747E2A18" w:rsidR="00D2171C" w:rsidRPr="00A85CC9" w:rsidRDefault="00D2171C" w:rsidP="00D2171C">
    <w:pPr>
      <w:pStyle w:val="Header"/>
      <w:tabs>
        <w:tab w:val="clear" w:pos="4680"/>
      </w:tabs>
      <w:rPr>
        <w:rFonts w:ascii="Montserrat Light" w:hAnsi="Montserrat Light"/>
        <w:sz w:val="16"/>
        <w:szCs w:val="16"/>
      </w:rPr>
    </w:pPr>
    <w:r w:rsidRPr="003A5975">
      <w:rPr>
        <w:rFonts w:ascii="Montserrat Light" w:hAnsi="Montserrat Light"/>
        <w:color w:val="833C0B" w:themeColor="accent2" w:themeShade="80"/>
        <w:sz w:val="16"/>
        <w:szCs w:val="16"/>
      </w:rPr>
      <w:t xml:space="preserve">AFL-CIO </w:t>
    </w:r>
    <w:r w:rsidR="004F651D" w:rsidRPr="003A5975">
      <w:rPr>
        <w:rFonts w:ascii="Montserrat Light" w:hAnsi="Montserrat Light"/>
        <w:color w:val="833C0B" w:themeColor="accent2" w:themeShade="80"/>
        <w:sz w:val="16"/>
        <w:szCs w:val="16"/>
      </w:rPr>
      <w:t>LEGISLATIVE ALERT</w:t>
    </w:r>
    <w:r>
      <w:rPr>
        <w:rFonts w:ascii="Montserrat Light" w:hAnsi="Montserrat Light"/>
        <w:sz w:val="16"/>
        <w:szCs w:val="16"/>
      </w:rPr>
      <w:tab/>
    </w:r>
    <w:r w:rsidRPr="00151B58">
      <w:rPr>
        <w:rFonts w:ascii="Montserrat Light" w:hAnsi="Montserrat Light"/>
        <w:sz w:val="16"/>
        <w:szCs w:val="16"/>
      </w:rPr>
      <w:fldChar w:fldCharType="begin"/>
    </w:r>
    <w:r w:rsidRPr="00151B58">
      <w:rPr>
        <w:rFonts w:ascii="Montserrat Light" w:hAnsi="Montserrat Light"/>
        <w:sz w:val="16"/>
        <w:szCs w:val="16"/>
      </w:rPr>
      <w:instrText xml:space="preserve"> PAGE   \* MERGEFORMAT </w:instrText>
    </w:r>
    <w:r w:rsidRPr="00151B58">
      <w:rPr>
        <w:rFonts w:ascii="Montserrat Light" w:hAnsi="Montserrat Light"/>
        <w:sz w:val="16"/>
        <w:szCs w:val="16"/>
      </w:rPr>
      <w:fldChar w:fldCharType="separate"/>
    </w:r>
    <w:r w:rsidR="00A015F5">
      <w:rPr>
        <w:rFonts w:ascii="Montserrat Light" w:hAnsi="Montserrat Light"/>
        <w:noProof/>
        <w:sz w:val="16"/>
        <w:szCs w:val="16"/>
      </w:rPr>
      <w:t>2</w:t>
    </w:r>
    <w:r w:rsidRPr="00151B58">
      <w:rPr>
        <w:rFonts w:ascii="Montserrat Light" w:hAnsi="Montserrat Light"/>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BAE9" w14:textId="77777777" w:rsidR="00D2171C" w:rsidRDefault="00D2171C" w:rsidP="00D2171C">
    <w:pPr>
      <w:pStyle w:val="Header"/>
      <w:jc w:val="center"/>
    </w:pPr>
    <w:r>
      <w:rPr>
        <w:noProof/>
      </w:rPr>
      <w:drawing>
        <wp:inline distT="0" distB="0" distL="0" distR="0" wp14:anchorId="01BC5F61" wp14:editId="32A3CBB4">
          <wp:extent cx="3892808" cy="7904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l-cio-Logo-on white-notag-CMYK.jpg"/>
                  <pic:cNvPicPr/>
                </pic:nvPicPr>
                <pic:blipFill rotWithShape="1">
                  <a:blip r:embed="rId1" cstate="print">
                    <a:extLst>
                      <a:ext uri="{28A0092B-C50C-407E-A947-70E740481C1C}">
                        <a14:useLocalDpi xmlns:a14="http://schemas.microsoft.com/office/drawing/2010/main" val="0"/>
                      </a:ext>
                    </a:extLst>
                  </a:blip>
                  <a:srcRect t="18378" b="16314"/>
                  <a:stretch/>
                </pic:blipFill>
                <pic:spPr bwMode="auto">
                  <a:xfrm>
                    <a:off x="0" y="0"/>
                    <a:ext cx="3892808" cy="790403"/>
                  </a:xfrm>
                  <a:prstGeom prst="rect">
                    <a:avLst/>
                  </a:prstGeom>
                  <a:ln>
                    <a:noFill/>
                  </a:ln>
                  <a:extLst>
                    <a:ext uri="{53640926-AAD7-44D8-BBD7-CCE9431645EC}">
                      <a14:shadowObscured xmlns:a14="http://schemas.microsoft.com/office/drawing/2010/main"/>
                    </a:ext>
                  </a:extLst>
                </pic:spPr>
              </pic:pic>
            </a:graphicData>
          </a:graphic>
        </wp:inline>
      </w:drawing>
    </w:r>
  </w:p>
  <w:p w14:paraId="4C4A5210" w14:textId="77777777" w:rsidR="00D2171C" w:rsidRPr="00AE604F" w:rsidRDefault="00D2171C" w:rsidP="00D2171C">
    <w:pPr>
      <w:pStyle w:val="Header"/>
      <w:ind w:firstLine="2880"/>
      <w:rPr>
        <w:rFonts w:ascii="Aleo" w:hAnsi="Aleo"/>
        <w:color w:val="F4633A"/>
        <w:sz w:val="36"/>
        <w:szCs w:val="36"/>
      </w:rPr>
    </w:pPr>
    <w:r>
      <w:rPr>
        <w:rFonts w:ascii="Aleo" w:hAnsi="Aleo"/>
        <w:noProof/>
        <w:color w:val="F4633A"/>
        <w:sz w:val="36"/>
        <w:szCs w:val="36"/>
      </w:rPr>
      <mc:AlternateContent>
        <mc:Choice Requires="wps">
          <w:drawing>
            <wp:anchor distT="0" distB="0" distL="114300" distR="114300" simplePos="0" relativeHeight="251664384" behindDoc="0" locked="0" layoutInCell="1" allowOverlap="1" wp14:anchorId="50CA8C76" wp14:editId="057B7412">
              <wp:simplePos x="0" y="0"/>
              <wp:positionH relativeFrom="column">
                <wp:posOffset>4245519</wp:posOffset>
              </wp:positionH>
              <wp:positionV relativeFrom="paragraph">
                <wp:posOffset>146685</wp:posOffset>
              </wp:positionV>
              <wp:extent cx="506095" cy="0"/>
              <wp:effectExtent l="0" t="0" r="27305" b="19050"/>
              <wp:wrapNone/>
              <wp:docPr id="4" name="Straight Connector 4"/>
              <wp:cNvGraphicFramePr/>
              <a:graphic xmlns:a="http://schemas.openxmlformats.org/drawingml/2006/main">
                <a:graphicData uri="http://schemas.microsoft.com/office/word/2010/wordprocessingShape">
                  <wps:wsp>
                    <wps:cNvCnPr/>
                    <wps:spPr>
                      <a:xfrm flipH="1">
                        <a:off x="0" y="0"/>
                        <a:ext cx="50609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11852557" id="Straight Connector 4"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3pt,11.55pt" to="374.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" strokecolor="#a5a5a5 [3206]" strokeweight=".5pt">
              <v:stroke joinstyle="miter"/>
            </v:line>
          </w:pict>
        </mc:Fallback>
      </mc:AlternateContent>
    </w:r>
    <w:r>
      <w:rPr>
        <w:rFonts w:ascii="Aleo" w:hAnsi="Aleo"/>
        <w:noProof/>
        <w:color w:val="F4633A"/>
        <w:sz w:val="36"/>
        <w:szCs w:val="36"/>
      </w:rPr>
      <mc:AlternateContent>
        <mc:Choice Requires="wps">
          <w:drawing>
            <wp:anchor distT="0" distB="0" distL="114300" distR="114300" simplePos="0" relativeHeight="251663360" behindDoc="0" locked="0" layoutInCell="1" allowOverlap="1" wp14:anchorId="6C208AE9" wp14:editId="377E0B93">
              <wp:simplePos x="0" y="0"/>
              <wp:positionH relativeFrom="column">
                <wp:posOffset>1133475</wp:posOffset>
              </wp:positionH>
              <wp:positionV relativeFrom="paragraph">
                <wp:posOffset>146685</wp:posOffset>
              </wp:positionV>
              <wp:extent cx="542925" cy="0"/>
              <wp:effectExtent l="0" t="0" r="9525" b="19050"/>
              <wp:wrapNone/>
              <wp:docPr id="6" name="Straight Connector 6"/>
              <wp:cNvGraphicFramePr/>
              <a:graphic xmlns:a="http://schemas.openxmlformats.org/drawingml/2006/main">
                <a:graphicData uri="http://schemas.microsoft.com/office/word/2010/wordprocessingShape">
                  <wps:wsp>
                    <wps:cNvCnPr/>
                    <wps:spPr>
                      <a:xfrm flipH="1">
                        <a:off x="0" y="0"/>
                        <a:ext cx="5429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1EDEDADC" id="Straight Connector 6"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11.55pt" to="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" strokecolor="#a5a5a5 [3206]" strokeweight=".5pt">
              <v:stroke joinstyle="miter"/>
            </v:line>
          </w:pict>
        </mc:Fallback>
      </mc:AlternateContent>
    </w:r>
    <w:r>
      <w:rPr>
        <w:rFonts w:ascii="Aleo" w:hAnsi="Aleo"/>
        <w:color w:val="F4633A"/>
        <w:sz w:val="36"/>
        <w:szCs w:val="36"/>
      </w:rPr>
      <w:t>LEGISLATIVE ALERT</w:t>
    </w:r>
  </w:p>
  <w:p w14:paraId="5A3B0C59" w14:textId="77777777" w:rsidR="00D2171C" w:rsidRDefault="00D217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1A"/>
    <w:rsid w:val="000B1327"/>
    <w:rsid w:val="0014764F"/>
    <w:rsid w:val="001A6FD3"/>
    <w:rsid w:val="0023262D"/>
    <w:rsid w:val="0033469C"/>
    <w:rsid w:val="0036454E"/>
    <w:rsid w:val="003A5975"/>
    <w:rsid w:val="003F7B7D"/>
    <w:rsid w:val="004C718C"/>
    <w:rsid w:val="004D18A6"/>
    <w:rsid w:val="004F651D"/>
    <w:rsid w:val="005704FA"/>
    <w:rsid w:val="005B716A"/>
    <w:rsid w:val="00661073"/>
    <w:rsid w:val="006B7CF9"/>
    <w:rsid w:val="006E39D7"/>
    <w:rsid w:val="00703EC2"/>
    <w:rsid w:val="007A436D"/>
    <w:rsid w:val="007F7078"/>
    <w:rsid w:val="009610D1"/>
    <w:rsid w:val="009E4F04"/>
    <w:rsid w:val="00A015F5"/>
    <w:rsid w:val="00A70DC2"/>
    <w:rsid w:val="00AE604F"/>
    <w:rsid w:val="00B64736"/>
    <w:rsid w:val="00C455E4"/>
    <w:rsid w:val="00C46D01"/>
    <w:rsid w:val="00CD6EC9"/>
    <w:rsid w:val="00CE024A"/>
    <w:rsid w:val="00D03702"/>
    <w:rsid w:val="00D1021A"/>
    <w:rsid w:val="00D2171C"/>
    <w:rsid w:val="00D37E3B"/>
    <w:rsid w:val="00D54521"/>
    <w:rsid w:val="00DC1D99"/>
    <w:rsid w:val="00DD6246"/>
    <w:rsid w:val="00DE735A"/>
    <w:rsid w:val="00ED606D"/>
    <w:rsid w:val="00F9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F82DCF"/>
  <w15:chartTrackingRefBased/>
  <w15:docId w15:val="{E036EB27-54A8-47A6-87AB-7C9E5EFB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7D"/>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D0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6D01"/>
  </w:style>
  <w:style w:type="paragraph" w:styleId="Footer">
    <w:name w:val="footer"/>
    <w:basedOn w:val="Normal"/>
    <w:link w:val="FooterChar"/>
    <w:uiPriority w:val="99"/>
    <w:unhideWhenUsed/>
    <w:rsid w:val="00C46D0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46D01"/>
  </w:style>
  <w:style w:type="paragraph" w:styleId="BalloonText">
    <w:name w:val="Balloon Text"/>
    <w:basedOn w:val="Normal"/>
    <w:link w:val="BalloonTextChar"/>
    <w:uiPriority w:val="99"/>
    <w:semiHidden/>
    <w:unhideWhenUsed/>
    <w:rsid w:val="00961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0D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D18A6"/>
    <w:rPr>
      <w:sz w:val="16"/>
      <w:szCs w:val="16"/>
    </w:rPr>
  </w:style>
  <w:style w:type="paragraph" w:styleId="CommentText">
    <w:name w:val="annotation text"/>
    <w:basedOn w:val="Normal"/>
    <w:link w:val="CommentTextChar"/>
    <w:uiPriority w:val="99"/>
    <w:semiHidden/>
    <w:unhideWhenUsed/>
    <w:rsid w:val="004D18A6"/>
    <w:rPr>
      <w:sz w:val="20"/>
      <w:szCs w:val="20"/>
    </w:rPr>
  </w:style>
  <w:style w:type="character" w:customStyle="1" w:styleId="CommentTextChar">
    <w:name w:val="Comment Text Char"/>
    <w:basedOn w:val="DefaultParagraphFont"/>
    <w:link w:val="CommentText"/>
    <w:uiPriority w:val="99"/>
    <w:semiHidden/>
    <w:rsid w:val="004D18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D18A6"/>
    <w:rPr>
      <w:b/>
      <w:bCs/>
    </w:rPr>
  </w:style>
  <w:style w:type="character" w:customStyle="1" w:styleId="CommentSubjectChar">
    <w:name w:val="Comment Subject Char"/>
    <w:basedOn w:val="CommentTextChar"/>
    <w:link w:val="CommentSubject"/>
    <w:uiPriority w:val="99"/>
    <w:semiHidden/>
    <w:rsid w:val="004D18A6"/>
    <w:rPr>
      <w:rFonts w:ascii="Calibri" w:eastAsia="Calibri" w:hAnsi="Calibri" w:cs="Times New Roman"/>
      <w:b/>
      <w:bCs/>
      <w:sz w:val="20"/>
      <w:szCs w:val="20"/>
    </w:rPr>
  </w:style>
  <w:style w:type="character" w:styleId="Hyperlink">
    <w:name w:val="Hyperlink"/>
    <w:basedOn w:val="DefaultParagraphFont"/>
    <w:uiPriority w:val="99"/>
    <w:unhideWhenUsed/>
    <w:rsid w:val="00ED60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ble\Documents\Copyediting\leg%20alert%20fin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45D3-49F6-40EB-99DD-B02AC044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 alert final template</Template>
  <TotalTime>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AFL-CIO</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Bill Samuel</cp:lastModifiedBy>
  <cp:revision>2</cp:revision>
  <cp:lastPrinted>2017-02-27T21:21:00Z</cp:lastPrinted>
  <dcterms:created xsi:type="dcterms:W3CDTF">2018-04-13T15:33:00Z</dcterms:created>
  <dcterms:modified xsi:type="dcterms:W3CDTF">2018-04-13T15:33:00Z</dcterms:modified>
</cp:coreProperties>
</file>